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Relatório Técnico de Precificação do Serviço de Laudo de Avaliação de Imóveis Públicos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left" w:leader="none" w:pos="1701"/>
        </w:tabs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Introdução</w:t>
      </w:r>
    </w:p>
    <w:p w:rsidR="00000000" w:rsidDel="00000000" w:rsidP="00000000" w:rsidRDefault="00000000" w:rsidRPr="00000000" w14:paraId="00000006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Após o recebimento do EVTEJA pelo Parque Tecnológico de Cidades Inteligentes – PTCI, observou-se que a estimativa de valores para serviços relacionados à gestão de imóveis públicos — notadamente os serviços de elaboração de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laudos de avaliação imobiliária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—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baseava-se exclusivamente em pesquisa por meio de cotações diretas a fornecedores.</w:t>
      </w:r>
    </w:p>
    <w:p w:rsidR="00000000" w:rsidDel="00000000" w:rsidP="00000000" w:rsidRDefault="00000000" w:rsidRPr="00000000" w14:paraId="00000007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Nesse contexto, e considerando que a avaliação imobiliária se enquadra como serviço técnico especializado de natureza comum, optou-se por complementar a análise mediante levantamento sistemático de preços praticados pelo setor público federal, estadual e municipal, conforme consta no Painel de Preços do Governo Federal.</w:t>
      </w:r>
    </w:p>
    <w:p w:rsidR="00000000" w:rsidDel="00000000" w:rsidP="00000000" w:rsidRDefault="00000000" w:rsidRPr="00000000" w14:paraId="00000008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Assim, o presente estudo visa consolidar uma estimativa de preços robusta e compatível com as práticas de mercado, observando não apenas as variações registradas nos contratos administrativos, mas também os parâmetros técnicos, legais e operacionais que influenciam o custo do serviço, garantindo-se, desse modo, a economicidade, a adequação técnica e a segurança jurídica do processo de contratação.</w:t>
      </w:r>
    </w:p>
    <w:p w:rsidR="00000000" w:rsidDel="00000000" w:rsidP="00000000" w:rsidRDefault="00000000" w:rsidRPr="00000000" w14:paraId="00000009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b w:val="1"/>
          <w:rtl w:val="0"/>
        </w:rPr>
        <w:t xml:space="preserve">2. Metodologia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ind w:firstLine="708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Os preços foram levantados no Painel de Preços do Governo Federal, em consonância com o objeto supracitado, sob os códigos CATSER 876 e 21784, por intermédio do filtro de descrição complementar, identificando os objetos, tanto na modalidade Pregão como Dispensa, destinados à contratação de laudos de avaliação imobiliária em todo o território nacional. Assim, adotou-se o método comparativo de dados com a finalidade de realizar a filtragem entre aqueles que se adequavam ou não se adequavam a categoria proposta.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left" w:leader="none" w:pos="170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Coleta de dados</w:t>
      </w:r>
    </w:p>
    <w:p w:rsidR="00000000" w:rsidDel="00000000" w:rsidP="00000000" w:rsidRDefault="00000000" w:rsidRPr="00000000" w14:paraId="0000000F">
      <w:pPr>
        <w:tabs>
          <w:tab w:val="left" w:leader="none" w:pos="1701"/>
        </w:tabs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545.0" w:type="dxa"/>
        <w:jc w:val="left"/>
        <w:tblInd w:w="-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35"/>
        <w:gridCol w:w="3825"/>
        <w:gridCol w:w="105"/>
        <w:gridCol w:w="105"/>
        <w:gridCol w:w="1845"/>
        <w:gridCol w:w="105"/>
        <w:gridCol w:w="105"/>
        <w:gridCol w:w="930"/>
        <w:gridCol w:w="105"/>
        <w:gridCol w:w="1485"/>
        <w:tblGridChange w:id="0">
          <w:tblGrid>
            <w:gridCol w:w="1935"/>
            <w:gridCol w:w="3825"/>
            <w:gridCol w:w="105"/>
            <w:gridCol w:w="105"/>
            <w:gridCol w:w="1845"/>
            <w:gridCol w:w="105"/>
            <w:gridCol w:w="105"/>
            <w:gridCol w:w="930"/>
            <w:gridCol w:w="105"/>
            <w:gridCol w:w="148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Modalidade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Quantidade Ofertada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Valor Unitário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Data da Compra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330,00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690,00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745,00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385,00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390,00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520,00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420,00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380,00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430,00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420,00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440,00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380,00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798,00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350,00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520,00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Dispensa de Licitação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645,00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02/07/2024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Dispensa de Licitação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340,00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02/12/2024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670,00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1390,00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325,00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Dispensa de Licitação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980,00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05/09/2024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6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640,00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1000,00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620,00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625,00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620,00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437,00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09/05/2024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25/03/2024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03/12/2024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PERICIA / LAUDO / AVALIACAO - TECNICA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397,00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26/04/2024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A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25/03/2024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4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B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25/03/2024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C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E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3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5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25/03/2024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6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8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D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F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25/03/2024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0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Pregão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1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ESTUDO, AVALIACAO, PROJETO - IMOVEIS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2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120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7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9">
            <w:pPr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09/05/2024</w:t>
            </w:r>
          </w:p>
        </w:tc>
      </w:tr>
    </w:tbl>
    <w:p w:rsidR="00000000" w:rsidDel="00000000" w:rsidP="00000000" w:rsidRDefault="00000000" w:rsidRPr="00000000" w14:paraId="000001FA">
      <w:pPr>
        <w:tabs>
          <w:tab w:val="left" w:leader="none" w:pos="170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left" w:leader="none" w:pos="170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left" w:leader="none" w:pos="170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Análise global da coleta de dados</w:t>
      </w:r>
    </w:p>
    <w:p w:rsidR="00000000" w:rsidDel="00000000" w:rsidP="00000000" w:rsidRDefault="00000000" w:rsidRPr="00000000" w14:paraId="000001FD">
      <w:pPr>
        <w:ind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coleta de dados no painel obteve os seguintes resultados de análise global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/>
        <w:drawing>
          <wp:inline distB="0" distT="0" distL="0" distR="0">
            <wp:extent cx="5381625" cy="3952875"/>
            <wp:effectExtent b="0" l="0" r="0" t="0"/>
            <wp:docPr descr="Interface gráfica do usuário, Aplicativo&#10;&#10;O conteúdo gerado por IA pode estar incorreto." id="1628087939" name="image2.png"/>
            <a:graphic>
              <a:graphicData uri="http://schemas.openxmlformats.org/drawingml/2006/picture">
                <pic:pic>
                  <pic:nvPicPr>
                    <pic:cNvPr descr="Interface gráfica do usuário, Aplicativo&#10;&#10;O conteúdo gerado por IA pode estar incorreto.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95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/>
        <w:drawing>
          <wp:inline distB="0" distT="0" distL="0" distR="0">
            <wp:extent cx="5362575" cy="5715000"/>
            <wp:effectExtent b="0" l="0" r="0" t="0"/>
            <wp:docPr descr="Gráfico, Gráfico de barras&#10;&#10;O conteúdo gerado por IA pode estar incorreto." id="1628087941" name="image6.png"/>
            <a:graphic>
              <a:graphicData uri="http://schemas.openxmlformats.org/drawingml/2006/picture">
                <pic:pic>
                  <pic:nvPicPr>
                    <pic:cNvPr descr="Gráfico, Gráfico de barras&#10;&#10;O conteúdo gerado por IA pode estar incorreto."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571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/>
        <w:drawing>
          <wp:inline distB="0" distT="0" distL="0" distR="0">
            <wp:extent cx="6124870" cy="6502283"/>
            <wp:effectExtent b="0" l="0" r="0" t="0"/>
            <wp:docPr descr="Interface gráfica do usuário, Gráfico, Aplicativo, Gráfico de linhas&#10;&#10;O conteúdo gerado por IA pode estar incorreto." id="1628087940" name="image1.png"/>
            <a:graphic>
              <a:graphicData uri="http://schemas.openxmlformats.org/drawingml/2006/picture">
                <pic:pic>
                  <pic:nvPicPr>
                    <pic:cNvPr descr="Interface gráfica do usuário, Gráfico, Aplicativo, Gráfico de linhas&#10;&#10;O conteúdo gerado por IA pode estar incorreto."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4870" cy="65022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left" w:leader="none" w:pos="170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6288319" cy="4538526"/>
            <wp:effectExtent b="0" l="0" r="0" t="0"/>
            <wp:docPr descr="Uma imagem contendo Mapa&#10;&#10;O conteúdo gerado por IA pode estar incorreto." id="1628087943" name="image4.png"/>
            <a:graphic>
              <a:graphicData uri="http://schemas.openxmlformats.org/drawingml/2006/picture">
                <pic:pic>
                  <pic:nvPicPr>
                    <pic:cNvPr descr="Uma imagem contendo Mapa&#10;&#10;O conteúdo gerado por IA pode estar incorreto."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88319" cy="45385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6196862" cy="1724344"/>
            <wp:effectExtent b="0" l="0" r="0" t="0"/>
            <wp:docPr descr="Gráfico, Gráfico de dispersão&#10;&#10;O conteúdo gerado por IA pode estar incorreto." id="1628087942" name="image3.png"/>
            <a:graphic>
              <a:graphicData uri="http://schemas.openxmlformats.org/drawingml/2006/picture">
                <pic:pic>
                  <pic:nvPicPr>
                    <pic:cNvPr descr="Gráfico, Gráfico de dispersão&#10;&#10;O conteúdo gerado por IA pode estar incorreto."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96862" cy="17243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  <w:tab w:val="left" w:leader="none" w:pos="1701"/>
        </w:tabs>
        <w:spacing w:after="20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Conclusão</w:t>
      </w:r>
    </w:p>
    <w:p w:rsidR="00000000" w:rsidDel="00000000" w:rsidP="00000000" w:rsidRDefault="00000000" w:rsidRPr="00000000" w14:paraId="00000205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Apesar da tentativa de padronização, os objetos listados nas licitações homologadas não se mostram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capaz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es de atender de forma suficientemente similar aquilo que se configura como objeto da precificação, para além de demonstrar evidente variação na lista de preços. Entendermos ser adequada a formação do preço via consulta a fornecedores do ramo.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4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  <w:t xml:space="preserve">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5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4.png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footer" Target="footer1.xml"/><Relationship Id="rId14" Type="http://schemas.openxmlformats.org/officeDocument/2006/relationships/header" Target="header3.xml"/><Relationship Id="rId17" Type="http://schemas.openxmlformats.org/officeDocument/2006/relationships/footer" Target="footer3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11lUNmXq1XODXNxNLyxtASXRQA==">CgMxLjA4AHIhMTE4TmFiZ1dHa1ljdjRDaTBZTnhIQ1BDc1NvR3YwVHdu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